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FC3A" w14:textId="77777777" w:rsidR="00FF1FE7" w:rsidRDefault="00FF1FE7" w:rsidP="00FF1FE7">
      <w:pPr>
        <w:widowControl w:val="0"/>
        <w:autoSpaceDE w:val="0"/>
        <w:autoSpaceDN w:val="0"/>
        <w:adjustRightInd w:val="0"/>
        <w:rPr>
          <w:rFonts w:ascii="Arial" w:hAnsi="Arial" w:cs="Arial"/>
          <w:sz w:val="26"/>
          <w:szCs w:val="26"/>
        </w:rPr>
      </w:pPr>
      <w:r>
        <w:rPr>
          <w:rFonts w:ascii="Arial" w:hAnsi="Arial" w:cs="Arial"/>
          <w:b/>
          <w:bCs/>
          <w:color w:val="1A1A1A"/>
          <w:sz w:val="26"/>
          <w:szCs w:val="26"/>
        </w:rPr>
        <w:t>From:</w:t>
      </w:r>
      <w:r>
        <w:rPr>
          <w:rFonts w:ascii="Arial" w:hAnsi="Arial" w:cs="Arial"/>
          <w:color w:val="1A1A1A"/>
          <w:sz w:val="26"/>
          <w:szCs w:val="26"/>
        </w:rPr>
        <w:t xml:space="preserve"> "</w:t>
      </w:r>
      <w:proofErr w:type="spellStart"/>
      <w:r>
        <w:rPr>
          <w:rFonts w:ascii="Arial" w:hAnsi="Arial" w:cs="Arial"/>
          <w:color w:val="1A1A1A"/>
          <w:sz w:val="26"/>
          <w:szCs w:val="26"/>
        </w:rPr>
        <w:t>Brickley</w:t>
      </w:r>
      <w:proofErr w:type="spellEnd"/>
      <w:r>
        <w:rPr>
          <w:rFonts w:ascii="Arial" w:hAnsi="Arial" w:cs="Arial"/>
          <w:color w:val="1A1A1A"/>
          <w:sz w:val="26"/>
          <w:szCs w:val="26"/>
        </w:rPr>
        <w:t>, Michelle (OVW)" &lt;</w:t>
      </w:r>
      <w:hyperlink r:id="rId6" w:history="1">
        <w:r>
          <w:rPr>
            <w:rFonts w:ascii="Arial" w:hAnsi="Arial" w:cs="Arial"/>
            <w:color w:val="103CC0"/>
            <w:sz w:val="26"/>
            <w:szCs w:val="26"/>
            <w:u w:val="single" w:color="103CC0"/>
          </w:rPr>
          <w:t>Michelle.Brickley@usdoj.gov</w:t>
        </w:r>
      </w:hyperlink>
      <w:r>
        <w:rPr>
          <w:rFonts w:ascii="Arial" w:hAnsi="Arial" w:cs="Arial"/>
          <w:color w:val="1A1A1A"/>
          <w:sz w:val="26"/>
          <w:szCs w:val="26"/>
        </w:rPr>
        <w:t>&gt;</w:t>
      </w:r>
    </w:p>
    <w:p w14:paraId="09283569" w14:textId="77777777" w:rsidR="00FF1FE7" w:rsidRDefault="00FF1FE7" w:rsidP="00FF1FE7">
      <w:pPr>
        <w:widowControl w:val="0"/>
        <w:autoSpaceDE w:val="0"/>
        <w:autoSpaceDN w:val="0"/>
        <w:adjustRightInd w:val="0"/>
        <w:rPr>
          <w:rFonts w:ascii="Arial" w:hAnsi="Arial" w:cs="Arial"/>
          <w:sz w:val="26"/>
          <w:szCs w:val="26"/>
        </w:rPr>
      </w:pPr>
      <w:r>
        <w:rPr>
          <w:rFonts w:ascii="Arial" w:hAnsi="Arial" w:cs="Arial"/>
          <w:b/>
          <w:bCs/>
          <w:color w:val="1A1A1A"/>
          <w:sz w:val="26"/>
          <w:szCs w:val="26"/>
        </w:rPr>
        <w:t>To:</w:t>
      </w:r>
      <w:r>
        <w:rPr>
          <w:rFonts w:ascii="Arial" w:hAnsi="Arial" w:cs="Arial"/>
          <w:color w:val="1A1A1A"/>
          <w:sz w:val="26"/>
          <w:szCs w:val="26"/>
        </w:rPr>
        <w:t xml:space="preserve"> </w:t>
      </w:r>
    </w:p>
    <w:p w14:paraId="6695A5AE" w14:textId="77777777" w:rsidR="00FF1FE7" w:rsidRDefault="00FF1FE7" w:rsidP="00FF1FE7">
      <w:pPr>
        <w:widowControl w:val="0"/>
        <w:autoSpaceDE w:val="0"/>
        <w:autoSpaceDN w:val="0"/>
        <w:adjustRightInd w:val="0"/>
        <w:rPr>
          <w:rFonts w:ascii="Arial" w:hAnsi="Arial" w:cs="Arial"/>
          <w:sz w:val="26"/>
          <w:szCs w:val="26"/>
        </w:rPr>
      </w:pPr>
      <w:r>
        <w:rPr>
          <w:rFonts w:ascii="Arial" w:hAnsi="Arial" w:cs="Arial"/>
          <w:b/>
          <w:bCs/>
          <w:color w:val="1A1A1A"/>
          <w:sz w:val="26"/>
          <w:szCs w:val="26"/>
        </w:rPr>
        <w:t>Sent:</w:t>
      </w:r>
      <w:r>
        <w:rPr>
          <w:rFonts w:ascii="Arial" w:hAnsi="Arial" w:cs="Arial"/>
          <w:color w:val="1A1A1A"/>
          <w:sz w:val="26"/>
          <w:szCs w:val="26"/>
        </w:rPr>
        <w:t xml:space="preserve"> Wednesday, October 21, 2015 4:31 AM</w:t>
      </w:r>
    </w:p>
    <w:p w14:paraId="1601E851" w14:textId="77777777" w:rsidR="00FF1FE7" w:rsidRDefault="00FF1FE7" w:rsidP="00FF1FE7">
      <w:pPr>
        <w:widowControl w:val="0"/>
        <w:autoSpaceDE w:val="0"/>
        <w:autoSpaceDN w:val="0"/>
        <w:adjustRightInd w:val="0"/>
        <w:rPr>
          <w:rFonts w:ascii="Arial" w:hAnsi="Arial" w:cs="Arial"/>
          <w:sz w:val="26"/>
          <w:szCs w:val="26"/>
        </w:rPr>
      </w:pPr>
      <w:r>
        <w:rPr>
          <w:rFonts w:ascii="Arial" w:hAnsi="Arial" w:cs="Arial"/>
          <w:b/>
          <w:bCs/>
          <w:color w:val="1A1A1A"/>
          <w:sz w:val="26"/>
          <w:szCs w:val="26"/>
        </w:rPr>
        <w:t>Subject:</w:t>
      </w:r>
      <w:r>
        <w:rPr>
          <w:rFonts w:ascii="Arial" w:hAnsi="Arial" w:cs="Arial"/>
          <w:color w:val="1A1A1A"/>
          <w:sz w:val="26"/>
          <w:szCs w:val="26"/>
        </w:rPr>
        <w:t xml:space="preserve"> Important Message from OVW- FY 2015 PREA Worksheet </w:t>
      </w:r>
    </w:p>
    <w:p w14:paraId="623A38AD" w14:textId="77777777" w:rsidR="00FF1FE7" w:rsidRDefault="00FF1FE7" w:rsidP="00FF1FE7">
      <w:pPr>
        <w:widowControl w:val="0"/>
        <w:autoSpaceDE w:val="0"/>
        <w:autoSpaceDN w:val="0"/>
        <w:adjustRightInd w:val="0"/>
        <w:rPr>
          <w:rFonts w:ascii="Helvetica Neue" w:hAnsi="Helvetica Neue" w:cs="Helvetica Neue"/>
          <w:sz w:val="32"/>
          <w:szCs w:val="32"/>
        </w:rPr>
      </w:pPr>
    </w:p>
    <w:p w14:paraId="6E9D2919"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Hello Everyone!!</w:t>
      </w:r>
    </w:p>
    <w:p w14:paraId="1E3EA5A3"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w:t>
      </w:r>
    </w:p>
    <w:p w14:paraId="646513F0"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xml:space="preserve">Fiscal Year 2015 STOP awards are currently being </w:t>
      </w:r>
      <w:proofErr w:type="gramStart"/>
      <w:r>
        <w:rPr>
          <w:rFonts w:ascii="Times New Roman" w:hAnsi="Times New Roman" w:cs="Times New Roman"/>
          <w:color w:val="1A1A1A"/>
          <w:sz w:val="38"/>
          <w:szCs w:val="38"/>
        </w:rPr>
        <w:t>made,</w:t>
      </w:r>
      <w:proofErr w:type="gramEnd"/>
      <w:r>
        <w:rPr>
          <w:rFonts w:ascii="Times New Roman" w:hAnsi="Times New Roman" w:cs="Times New Roman"/>
          <w:color w:val="1A1A1A"/>
          <w:sz w:val="38"/>
          <w:szCs w:val="38"/>
        </w:rPr>
        <w:t xml:space="preserve"> many of you have already received GMS notification regarding your award. </w:t>
      </w:r>
    </w:p>
    <w:p w14:paraId="14BAC119"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w:t>
      </w:r>
    </w:p>
    <w:p w14:paraId="5B8E8691"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Attached below is the revised PREA Worksheet (excel document) reflecting the three options and the PREA Worksheet Guide (</w:t>
      </w:r>
      <w:proofErr w:type="spellStart"/>
      <w:r>
        <w:rPr>
          <w:rFonts w:ascii="Times New Roman" w:hAnsi="Times New Roman" w:cs="Times New Roman"/>
          <w:color w:val="1A1A1A"/>
          <w:sz w:val="38"/>
          <w:szCs w:val="38"/>
        </w:rPr>
        <w:t>pdf</w:t>
      </w:r>
      <w:proofErr w:type="spellEnd"/>
      <w:r>
        <w:rPr>
          <w:rFonts w:ascii="Times New Roman" w:hAnsi="Times New Roman" w:cs="Times New Roman"/>
          <w:color w:val="1A1A1A"/>
          <w:sz w:val="38"/>
          <w:szCs w:val="38"/>
        </w:rPr>
        <w:t xml:space="preserve"> file instructions on how to complete the worksheet)</w:t>
      </w:r>
      <w:proofErr w:type="gramStart"/>
      <w:r>
        <w:rPr>
          <w:rFonts w:ascii="Times New Roman" w:hAnsi="Times New Roman" w:cs="Times New Roman"/>
          <w:color w:val="1A1A1A"/>
          <w:sz w:val="38"/>
          <w:szCs w:val="38"/>
        </w:rPr>
        <w:t>.</w:t>
      </w:r>
      <w:proofErr w:type="gramEnd"/>
      <w:r>
        <w:rPr>
          <w:rFonts w:ascii="Times New Roman" w:hAnsi="Times New Roman" w:cs="Times New Roman"/>
          <w:color w:val="1A1A1A"/>
          <w:sz w:val="38"/>
          <w:szCs w:val="38"/>
        </w:rPr>
        <w:t>  We will also post these documents on the OVW website.</w:t>
      </w:r>
    </w:p>
    <w:p w14:paraId="05CD4225"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2E6F3446" w14:textId="77777777" w:rsidR="00FF1FE7" w:rsidRDefault="00FF1FE7" w:rsidP="00FF1FE7">
      <w:pPr>
        <w:widowControl w:val="0"/>
        <w:autoSpaceDE w:val="0"/>
        <w:autoSpaceDN w:val="0"/>
        <w:adjustRightInd w:val="0"/>
        <w:rPr>
          <w:rFonts w:ascii="Times New Roman" w:hAnsi="Times New Roman" w:cs="Times New Roman"/>
          <w:sz w:val="38"/>
          <w:szCs w:val="38"/>
        </w:rPr>
      </w:pPr>
    </w:p>
    <w:p w14:paraId="7B35290F"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w:t>
      </w:r>
    </w:p>
    <w:p w14:paraId="4175172A"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You should only complete the option on the worksheet that corresponds to how your Governor responded regarding the status of PREA compliance.  The options are as follows:</w:t>
      </w:r>
    </w:p>
    <w:p w14:paraId="440683B2"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w:t>
      </w:r>
    </w:p>
    <w:p w14:paraId="48F70A8C"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Option 1    Governor submitted a certification indicating the state/territory was in compliance with PREA.</w:t>
      </w:r>
    </w:p>
    <w:p w14:paraId="485C7041"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Option 2    Governor submitted an assurance that the state/territory would use 4.75% of STOP funds to come into compliance with PREA</w:t>
      </w:r>
    </w:p>
    <w:p w14:paraId="1D4B4DD3"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Option 3    State/territory received the PREA penalty for PREA non-compliance.</w:t>
      </w:r>
    </w:p>
    <w:p w14:paraId="6CF553D1"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lastRenderedPageBreak/>
        <w:t> </w:t>
      </w:r>
    </w:p>
    <w:p w14:paraId="1A9D73A9"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Additionally here is a copy of a message I sent to you all in June regarding the redistribution of FY 2014 which impacted FY 2015 and required OVW to make revisions to the worksheet and instructions above. </w:t>
      </w:r>
    </w:p>
    <w:p w14:paraId="256AE241"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w:t>
      </w:r>
    </w:p>
    <w:p w14:paraId="10769283" w14:textId="77777777" w:rsidR="00FF1FE7" w:rsidRDefault="00FF1FE7" w:rsidP="00FF1FE7">
      <w:pPr>
        <w:widowControl w:val="0"/>
        <w:autoSpaceDE w:val="0"/>
        <w:autoSpaceDN w:val="0"/>
        <w:adjustRightInd w:val="0"/>
        <w:rPr>
          <w:rFonts w:ascii="Times New Roman" w:hAnsi="Times New Roman" w:cs="Times New Roman"/>
          <w:sz w:val="38"/>
          <w:szCs w:val="38"/>
        </w:rPr>
      </w:pPr>
    </w:p>
    <w:p w14:paraId="2FDF563A"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25FBB01C"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xml:space="preserve">Once you have completed the option applicable to your state/territory you will need to </w:t>
      </w:r>
      <w:r>
        <w:rPr>
          <w:rFonts w:ascii="Times New Roman" w:hAnsi="Times New Roman" w:cs="Times New Roman"/>
          <w:b/>
          <w:bCs/>
          <w:color w:val="1A1A1A"/>
          <w:sz w:val="38"/>
          <w:szCs w:val="38"/>
        </w:rPr>
        <w:t>print the form, print and sign your name &amp; date, and then scan the form and save it electronically</w:t>
      </w:r>
      <w:r>
        <w:rPr>
          <w:rFonts w:ascii="Times New Roman" w:hAnsi="Times New Roman" w:cs="Times New Roman"/>
          <w:color w:val="1A1A1A"/>
          <w:sz w:val="38"/>
          <w:szCs w:val="38"/>
        </w:rPr>
        <w:t xml:space="preserve">.  In order to submit the form to OVW for review please initiate and submit a </w:t>
      </w:r>
      <w:r>
        <w:rPr>
          <w:rFonts w:ascii="Times New Roman" w:hAnsi="Times New Roman" w:cs="Times New Roman"/>
          <w:b/>
          <w:bCs/>
          <w:color w:val="1A1A1A"/>
          <w:sz w:val="38"/>
          <w:szCs w:val="38"/>
        </w:rPr>
        <w:t>Program Office Approval Grant Adjustment Notice (GAN) in GMS</w:t>
      </w:r>
      <w:r>
        <w:rPr>
          <w:rFonts w:ascii="Times New Roman" w:hAnsi="Times New Roman" w:cs="Times New Roman"/>
          <w:color w:val="1A1A1A"/>
          <w:sz w:val="38"/>
          <w:szCs w:val="38"/>
        </w:rPr>
        <w:t xml:space="preserve"> </w:t>
      </w:r>
      <w:r>
        <w:rPr>
          <w:rFonts w:ascii="Times New Roman" w:hAnsi="Times New Roman" w:cs="Times New Roman"/>
          <w:b/>
          <w:bCs/>
          <w:color w:val="1A1A1A"/>
          <w:sz w:val="38"/>
          <w:szCs w:val="38"/>
        </w:rPr>
        <w:t>and attach the worksheet to the GAN</w:t>
      </w:r>
      <w:r>
        <w:rPr>
          <w:rFonts w:ascii="Times New Roman" w:hAnsi="Times New Roman" w:cs="Times New Roman"/>
          <w:color w:val="1A1A1A"/>
          <w:sz w:val="38"/>
          <w:szCs w:val="38"/>
        </w:rPr>
        <w:t xml:space="preserve">.  For those states/territories who fall into </w:t>
      </w:r>
      <w:r>
        <w:rPr>
          <w:rFonts w:ascii="Times New Roman" w:hAnsi="Times New Roman" w:cs="Times New Roman"/>
          <w:b/>
          <w:bCs/>
          <w:color w:val="1A1A1A"/>
          <w:sz w:val="38"/>
          <w:szCs w:val="38"/>
        </w:rPr>
        <w:t>Option 2</w:t>
      </w:r>
      <w:r>
        <w:rPr>
          <w:rFonts w:ascii="Times New Roman" w:hAnsi="Times New Roman" w:cs="Times New Roman"/>
          <w:color w:val="1A1A1A"/>
          <w:sz w:val="38"/>
          <w:szCs w:val="38"/>
        </w:rPr>
        <w:t xml:space="preserve"> where 4.75% of STOP funds are being held, OVW Program Mangers will review the form and if everything is acceptable will approve the GAN and then generate a GAN to release the withholding special condition currently attached to your award. </w:t>
      </w:r>
    </w:p>
    <w:p w14:paraId="439FEF20"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 </w:t>
      </w:r>
    </w:p>
    <w:p w14:paraId="69A56701"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For your reference, I’m also attaching the Fact Sheet on STOP Funds and PREA Reduction/Reallocation.</w:t>
      </w:r>
    </w:p>
    <w:p w14:paraId="096D7D0A"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48629CC8"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0A258EAF" w14:textId="77777777" w:rsidR="00FF1FE7" w:rsidRDefault="00FF1FE7" w:rsidP="00FF1FE7">
      <w:pPr>
        <w:widowControl w:val="0"/>
        <w:autoSpaceDE w:val="0"/>
        <w:autoSpaceDN w:val="0"/>
        <w:adjustRightInd w:val="0"/>
        <w:rPr>
          <w:rFonts w:ascii="Times New Roman" w:hAnsi="Times New Roman" w:cs="Times New Roman"/>
          <w:sz w:val="38"/>
          <w:szCs w:val="38"/>
        </w:rPr>
      </w:pPr>
    </w:p>
    <w:p w14:paraId="5DDF83DF"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Times New Roman" w:hAnsi="Times New Roman" w:cs="Times New Roman"/>
          <w:color w:val="1A1A1A"/>
          <w:sz w:val="38"/>
          <w:szCs w:val="38"/>
        </w:rPr>
        <w:t>If you have any questions please contact your OVW Program Manager. </w:t>
      </w:r>
    </w:p>
    <w:p w14:paraId="62D2F9F8"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52CC97E1"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Arial Narrow" w:hAnsi="Arial Narrow" w:cs="Arial Narrow"/>
          <w:color w:val="1A1A1A"/>
          <w:sz w:val="38"/>
          <w:szCs w:val="38"/>
        </w:rPr>
        <w:t xml:space="preserve">Michelle A. </w:t>
      </w:r>
      <w:proofErr w:type="spellStart"/>
      <w:r>
        <w:rPr>
          <w:rFonts w:ascii="Arial Narrow" w:hAnsi="Arial Narrow" w:cs="Arial Narrow"/>
          <w:color w:val="1A1A1A"/>
          <w:sz w:val="38"/>
          <w:szCs w:val="38"/>
        </w:rPr>
        <w:t>Brickley</w:t>
      </w:r>
      <w:proofErr w:type="spellEnd"/>
    </w:p>
    <w:p w14:paraId="0DEB6516"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Arial Narrow" w:hAnsi="Arial Narrow" w:cs="Arial Narrow"/>
          <w:color w:val="1A1A1A"/>
          <w:sz w:val="38"/>
          <w:szCs w:val="38"/>
        </w:rPr>
        <w:t>Associate Director</w:t>
      </w:r>
    </w:p>
    <w:p w14:paraId="1A91C85F"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Arial Narrow" w:hAnsi="Arial Narrow" w:cs="Arial Narrow"/>
          <w:color w:val="1A1A1A"/>
          <w:sz w:val="38"/>
          <w:szCs w:val="38"/>
        </w:rPr>
        <w:t>U.S. Department of Justice-Office on Violence Against Women</w:t>
      </w:r>
    </w:p>
    <w:p w14:paraId="65C0B402"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Arial Narrow" w:hAnsi="Arial Narrow" w:cs="Arial Narrow"/>
          <w:color w:val="1A1A1A"/>
          <w:sz w:val="38"/>
          <w:szCs w:val="38"/>
        </w:rPr>
        <w:t>145 N Street NE</w:t>
      </w:r>
    </w:p>
    <w:p w14:paraId="2CC6A637"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Arial Narrow" w:hAnsi="Arial Narrow" w:cs="Arial Narrow"/>
          <w:color w:val="1A1A1A"/>
          <w:sz w:val="38"/>
          <w:szCs w:val="38"/>
        </w:rPr>
        <w:t>Suite 10W Room 208</w:t>
      </w:r>
    </w:p>
    <w:p w14:paraId="5BE35EA0"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Arial Narrow" w:hAnsi="Arial Narrow" w:cs="Arial Narrow"/>
          <w:color w:val="1A1A1A"/>
          <w:sz w:val="38"/>
          <w:szCs w:val="38"/>
        </w:rPr>
        <w:t>Washington, DC 20530</w:t>
      </w:r>
    </w:p>
    <w:p w14:paraId="3CB20760" w14:textId="77777777" w:rsidR="00FF1FE7" w:rsidRDefault="00FF1FE7" w:rsidP="00FF1FE7">
      <w:pPr>
        <w:widowControl w:val="0"/>
        <w:autoSpaceDE w:val="0"/>
        <w:autoSpaceDN w:val="0"/>
        <w:adjustRightInd w:val="0"/>
        <w:rPr>
          <w:rFonts w:ascii="Times New Roman" w:hAnsi="Times New Roman" w:cs="Times New Roman"/>
          <w:sz w:val="38"/>
          <w:szCs w:val="38"/>
        </w:rPr>
      </w:pPr>
      <w:hyperlink r:id="rId7" w:history="1">
        <w:r>
          <w:rPr>
            <w:rFonts w:ascii="Arial Narrow" w:hAnsi="Arial Narrow" w:cs="Arial Narrow"/>
            <w:color w:val="103CC0"/>
            <w:sz w:val="38"/>
            <w:szCs w:val="38"/>
            <w:u w:val="single" w:color="103CC0"/>
          </w:rPr>
          <w:t>202-514-3590</w:t>
        </w:r>
      </w:hyperlink>
    </w:p>
    <w:p w14:paraId="14D1D342"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Arial Narrow" w:hAnsi="Arial Narrow" w:cs="Arial Narrow"/>
          <w:color w:val="1A1A1A"/>
          <w:sz w:val="38"/>
          <w:szCs w:val="38"/>
        </w:rPr>
        <w:t> </w:t>
      </w:r>
    </w:p>
    <w:p w14:paraId="50A2353C"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79E129B7"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4E0A5966" w14:textId="77777777" w:rsidR="00FF1FE7" w:rsidRDefault="00FF1FE7" w:rsidP="00FF1FE7">
      <w:pPr>
        <w:widowControl w:val="0"/>
        <w:autoSpaceDE w:val="0"/>
        <w:autoSpaceDN w:val="0"/>
        <w:adjustRightInd w:val="0"/>
        <w:rPr>
          <w:rFonts w:ascii="Times New Roman" w:hAnsi="Times New Roman" w:cs="Times New Roman"/>
          <w:sz w:val="38"/>
          <w:szCs w:val="38"/>
        </w:rPr>
      </w:pPr>
      <w:r>
        <w:rPr>
          <w:rFonts w:ascii="Calibri" w:hAnsi="Calibri" w:cs="Calibri"/>
          <w:color w:val="1A1A1A"/>
          <w:sz w:val="30"/>
          <w:szCs w:val="30"/>
        </w:rPr>
        <w:t> </w:t>
      </w:r>
    </w:p>
    <w:p w14:paraId="7E148B12"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8"/>
          <w:szCs w:val="38"/>
        </w:rPr>
        <w:t>Hello Again!</w:t>
      </w:r>
    </w:p>
    <w:p w14:paraId="75283CC1"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23AFA4D6"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8"/>
          <w:szCs w:val="38"/>
        </w:rPr>
        <w:t>We’ve gotten a number of questions in response to the message I sent earlier today, hence this second email to provide clarification. </w:t>
      </w:r>
    </w:p>
    <w:p w14:paraId="24536ECD"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2FCE65C5"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8"/>
          <w:szCs w:val="38"/>
        </w:rPr>
        <w:t xml:space="preserve">As a reminder, the FY 2014 Redistribution Allocation is essentially “bonus money” to those states who submitted a </w:t>
      </w:r>
      <w:proofErr w:type="gramStart"/>
      <w:r>
        <w:rPr>
          <w:rFonts w:ascii="Calibri" w:hAnsi="Calibri" w:cs="Calibri"/>
          <w:color w:val="1A1A1A"/>
          <w:sz w:val="38"/>
          <w:szCs w:val="38"/>
        </w:rPr>
        <w:t>PREA  assurance</w:t>
      </w:r>
      <w:proofErr w:type="gramEnd"/>
      <w:r>
        <w:rPr>
          <w:rFonts w:ascii="Calibri" w:hAnsi="Calibri" w:cs="Calibri"/>
          <w:color w:val="1A1A1A"/>
          <w:sz w:val="38"/>
          <w:szCs w:val="38"/>
        </w:rPr>
        <w:t xml:space="preserve"> or certification in FY 2014.  PREA requires for those states/territory that didn’t submit either an assurance or </w:t>
      </w:r>
      <w:proofErr w:type="gramStart"/>
      <w:r>
        <w:rPr>
          <w:rFonts w:ascii="Calibri" w:hAnsi="Calibri" w:cs="Calibri"/>
          <w:color w:val="1A1A1A"/>
          <w:sz w:val="38"/>
          <w:szCs w:val="38"/>
        </w:rPr>
        <w:t>certification(</w:t>
      </w:r>
      <w:proofErr w:type="gramEnd"/>
      <w:r>
        <w:rPr>
          <w:rFonts w:ascii="Calibri" w:hAnsi="Calibri" w:cs="Calibri"/>
          <w:color w:val="1A1A1A"/>
          <w:sz w:val="38"/>
          <w:szCs w:val="38"/>
        </w:rPr>
        <w:t xml:space="preserve">FY 2014 allocation was reduced by 4.75%) that their funds be redistributed to those states and territories that did, therefore the Redistribution Allocation chart reflects this “bonus money” amount.  Due to the timing of </w:t>
      </w:r>
      <w:proofErr w:type="gramStart"/>
      <w:r>
        <w:rPr>
          <w:rFonts w:ascii="Calibri" w:hAnsi="Calibri" w:cs="Calibri"/>
          <w:color w:val="1A1A1A"/>
          <w:sz w:val="38"/>
          <w:szCs w:val="38"/>
        </w:rPr>
        <w:t>everything(</w:t>
      </w:r>
      <w:proofErr w:type="gramEnd"/>
      <w:r>
        <w:rPr>
          <w:rFonts w:ascii="Calibri" w:hAnsi="Calibri" w:cs="Calibri"/>
          <w:color w:val="1A1A1A"/>
          <w:sz w:val="38"/>
          <w:szCs w:val="38"/>
        </w:rPr>
        <w:t>and many moving pieces) we are unable to do to the redistribution during the same year, which is why FY 2014 funds are being redistributed in FY 2015. </w:t>
      </w:r>
    </w:p>
    <w:p w14:paraId="1C23125B"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0883F418"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8"/>
          <w:szCs w:val="38"/>
        </w:rPr>
        <w:t>A few more things to keep in mind:</w:t>
      </w:r>
    </w:p>
    <w:p w14:paraId="4937F7B0"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0325F2E8" w14:textId="77777777" w:rsidR="00FF1FE7" w:rsidRDefault="00FF1FE7" w:rsidP="00FF1FE7">
      <w:pPr>
        <w:widowControl w:val="0"/>
        <w:numPr>
          <w:ilvl w:val="0"/>
          <w:numId w:val="1"/>
        </w:numPr>
        <w:tabs>
          <w:tab w:val="left" w:pos="220"/>
          <w:tab w:val="left" w:pos="720"/>
        </w:tabs>
        <w:autoSpaceDE w:val="0"/>
        <w:autoSpaceDN w:val="0"/>
        <w:adjustRightInd w:val="0"/>
        <w:ind w:hanging="720"/>
        <w:rPr>
          <w:rFonts w:ascii="Calibri" w:hAnsi="Calibri" w:cs="Calibri"/>
          <w:sz w:val="38"/>
          <w:szCs w:val="38"/>
        </w:rPr>
      </w:pPr>
      <w:r>
        <w:rPr>
          <w:rFonts w:ascii="Calibri" w:hAnsi="Calibri" w:cs="Calibri"/>
          <w:color w:val="1A1A1A"/>
          <w:sz w:val="38"/>
          <w:szCs w:val="38"/>
        </w:rPr>
        <w:t xml:space="preserve">The FY 2015 Allocation chart that I sent only reflects allocations.  It does not reflect the reduced amount if your state or </w:t>
      </w:r>
      <w:proofErr w:type="gramStart"/>
      <w:r>
        <w:rPr>
          <w:rFonts w:ascii="Calibri" w:hAnsi="Calibri" w:cs="Calibri"/>
          <w:color w:val="1A1A1A"/>
          <w:sz w:val="38"/>
          <w:szCs w:val="38"/>
        </w:rPr>
        <w:t>territory  has</w:t>
      </w:r>
      <w:proofErr w:type="gramEnd"/>
      <w:r>
        <w:rPr>
          <w:rFonts w:ascii="Calibri" w:hAnsi="Calibri" w:cs="Calibri"/>
          <w:color w:val="1A1A1A"/>
          <w:sz w:val="38"/>
          <w:szCs w:val="38"/>
        </w:rPr>
        <w:t xml:space="preserve"> not submitted an assurance or certification for FY 2015.  For FY 2015 the deadline for Governors to provide a certification or an assurance to the PREA Office was May 15, 2015.  If you are from a state or territory that has not provided a certification or assurance your FY 2015 STOP award will be reduced by 4.75% (FY 2015 allocation minus 4.75%), another chart to show </w:t>
      </w:r>
      <w:proofErr w:type="gramStart"/>
      <w:r>
        <w:rPr>
          <w:rFonts w:ascii="Calibri" w:hAnsi="Calibri" w:cs="Calibri"/>
          <w:color w:val="1A1A1A"/>
          <w:sz w:val="38"/>
          <w:szCs w:val="38"/>
        </w:rPr>
        <w:t>these amount</w:t>
      </w:r>
      <w:proofErr w:type="gramEnd"/>
      <w:r>
        <w:rPr>
          <w:rFonts w:ascii="Calibri" w:hAnsi="Calibri" w:cs="Calibri"/>
          <w:color w:val="1A1A1A"/>
          <w:sz w:val="38"/>
          <w:szCs w:val="38"/>
        </w:rPr>
        <w:t xml:space="preserve"> will not be provided.  Those that fall into this category will see the reduced award amount on their FY 2015 STOP award documents. </w:t>
      </w:r>
    </w:p>
    <w:p w14:paraId="61E46B32"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12F150DC" w14:textId="77777777" w:rsidR="00FF1FE7" w:rsidRDefault="00FF1FE7" w:rsidP="00FF1FE7">
      <w:pPr>
        <w:widowControl w:val="0"/>
        <w:numPr>
          <w:ilvl w:val="0"/>
          <w:numId w:val="2"/>
        </w:numPr>
        <w:tabs>
          <w:tab w:val="left" w:pos="220"/>
          <w:tab w:val="left" w:pos="720"/>
        </w:tabs>
        <w:autoSpaceDE w:val="0"/>
        <w:autoSpaceDN w:val="0"/>
        <w:adjustRightInd w:val="0"/>
        <w:ind w:hanging="720"/>
        <w:rPr>
          <w:rFonts w:ascii="Calibri" w:hAnsi="Calibri" w:cs="Calibri"/>
          <w:sz w:val="38"/>
          <w:szCs w:val="38"/>
        </w:rPr>
      </w:pPr>
      <w:r>
        <w:rPr>
          <w:rFonts w:ascii="Calibri" w:hAnsi="Calibri" w:cs="Calibri"/>
          <w:color w:val="1A1A1A"/>
          <w:sz w:val="38"/>
          <w:szCs w:val="38"/>
        </w:rPr>
        <w:t>For those states and territories that have submitted a certification your FY 2015 STOP award will be made without a PREA withholding of funds. </w:t>
      </w:r>
    </w:p>
    <w:p w14:paraId="4EB7BD6C"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79EAA63B" w14:textId="77777777" w:rsidR="00FF1FE7" w:rsidRDefault="00FF1FE7" w:rsidP="00FF1FE7">
      <w:pPr>
        <w:widowControl w:val="0"/>
        <w:numPr>
          <w:ilvl w:val="0"/>
          <w:numId w:val="3"/>
        </w:numPr>
        <w:tabs>
          <w:tab w:val="left" w:pos="220"/>
          <w:tab w:val="left" w:pos="720"/>
        </w:tabs>
        <w:autoSpaceDE w:val="0"/>
        <w:autoSpaceDN w:val="0"/>
        <w:adjustRightInd w:val="0"/>
        <w:ind w:hanging="720"/>
        <w:rPr>
          <w:rFonts w:ascii="Calibri" w:hAnsi="Calibri" w:cs="Calibri"/>
          <w:sz w:val="38"/>
          <w:szCs w:val="38"/>
        </w:rPr>
      </w:pPr>
      <w:r>
        <w:rPr>
          <w:rFonts w:ascii="Calibri" w:hAnsi="Calibri" w:cs="Calibri"/>
          <w:color w:val="1A1A1A"/>
          <w:sz w:val="38"/>
          <w:szCs w:val="38"/>
        </w:rPr>
        <w:t>For those states and territories that have submitted an assurance your FY 2015 STOP award will be made with a special condition that withholds 4.75% of the funds until OVW receives and approves the PREA Worksheet.  Upon final approval a Grant Adjustment Notice will be issued to release the hold on the 4.75%. </w:t>
      </w:r>
    </w:p>
    <w:p w14:paraId="39F82902"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004A0A12" w14:textId="77777777" w:rsidR="00FF1FE7" w:rsidRDefault="00FF1FE7" w:rsidP="00FF1FE7">
      <w:pPr>
        <w:widowControl w:val="0"/>
        <w:numPr>
          <w:ilvl w:val="0"/>
          <w:numId w:val="4"/>
        </w:numPr>
        <w:tabs>
          <w:tab w:val="left" w:pos="220"/>
          <w:tab w:val="left" w:pos="720"/>
        </w:tabs>
        <w:autoSpaceDE w:val="0"/>
        <w:autoSpaceDN w:val="0"/>
        <w:adjustRightInd w:val="0"/>
        <w:ind w:hanging="720"/>
        <w:rPr>
          <w:rFonts w:ascii="Calibri" w:hAnsi="Calibri" w:cs="Calibri"/>
          <w:sz w:val="38"/>
          <w:szCs w:val="38"/>
        </w:rPr>
      </w:pPr>
      <w:r>
        <w:rPr>
          <w:rFonts w:ascii="Calibri" w:hAnsi="Calibri" w:cs="Calibri"/>
          <w:color w:val="1A1A1A"/>
          <w:sz w:val="38"/>
          <w:szCs w:val="38"/>
        </w:rPr>
        <w:t xml:space="preserve">We are in the process of updating the PREA Worksheet, which is submitted post award.  The form has to be revised so that the “bonus money” received from the redistribution is not subject to the PREA </w:t>
      </w:r>
      <w:proofErr w:type="spellStart"/>
      <w:r>
        <w:rPr>
          <w:rFonts w:ascii="Calibri" w:hAnsi="Calibri" w:cs="Calibri"/>
          <w:color w:val="1A1A1A"/>
          <w:sz w:val="38"/>
          <w:szCs w:val="38"/>
        </w:rPr>
        <w:t>amout</w:t>
      </w:r>
      <w:proofErr w:type="spellEnd"/>
      <w:r>
        <w:rPr>
          <w:rFonts w:ascii="Calibri" w:hAnsi="Calibri" w:cs="Calibri"/>
          <w:color w:val="1A1A1A"/>
          <w:sz w:val="38"/>
          <w:szCs w:val="38"/>
        </w:rPr>
        <w:t xml:space="preserve"> for FY 2015 but is part of the automated </w:t>
      </w:r>
      <w:proofErr w:type="spellStart"/>
      <w:r>
        <w:rPr>
          <w:rFonts w:ascii="Calibri" w:hAnsi="Calibri" w:cs="Calibri"/>
          <w:color w:val="1A1A1A"/>
          <w:sz w:val="38"/>
          <w:szCs w:val="38"/>
        </w:rPr>
        <w:t>calulations</w:t>
      </w:r>
      <w:proofErr w:type="spellEnd"/>
      <w:r>
        <w:rPr>
          <w:rFonts w:ascii="Calibri" w:hAnsi="Calibri" w:cs="Calibri"/>
          <w:color w:val="1A1A1A"/>
          <w:sz w:val="38"/>
          <w:szCs w:val="38"/>
        </w:rPr>
        <w:t xml:space="preserve"> for the discipline required allocations, administrative costs, etc.   Once the form has been revised a blast message will be sent and the revised form will also be posted on the OVW website.  The </w:t>
      </w:r>
      <w:proofErr w:type="gramStart"/>
      <w:r>
        <w:rPr>
          <w:rFonts w:ascii="Calibri" w:hAnsi="Calibri" w:cs="Calibri"/>
          <w:color w:val="1A1A1A"/>
          <w:sz w:val="38"/>
          <w:szCs w:val="38"/>
        </w:rPr>
        <w:t>revisions to this form primarily impacts</w:t>
      </w:r>
      <w:proofErr w:type="gramEnd"/>
      <w:r>
        <w:rPr>
          <w:rFonts w:ascii="Calibri" w:hAnsi="Calibri" w:cs="Calibri"/>
          <w:color w:val="1A1A1A"/>
          <w:sz w:val="38"/>
          <w:szCs w:val="38"/>
        </w:rPr>
        <w:t xml:space="preserve"> those that submitted assurances for FY 2015 which is the majority. </w:t>
      </w:r>
    </w:p>
    <w:p w14:paraId="33710DEF"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133068EA" w14:textId="77777777" w:rsidR="00FF1FE7" w:rsidRDefault="00FF1FE7" w:rsidP="00FF1FE7">
      <w:pPr>
        <w:widowControl w:val="0"/>
        <w:numPr>
          <w:ilvl w:val="0"/>
          <w:numId w:val="5"/>
        </w:numPr>
        <w:tabs>
          <w:tab w:val="left" w:pos="220"/>
          <w:tab w:val="left" w:pos="720"/>
        </w:tabs>
        <w:autoSpaceDE w:val="0"/>
        <w:autoSpaceDN w:val="0"/>
        <w:adjustRightInd w:val="0"/>
        <w:ind w:hanging="720"/>
        <w:rPr>
          <w:rFonts w:ascii="Calibri" w:hAnsi="Calibri" w:cs="Calibri"/>
          <w:sz w:val="38"/>
          <w:szCs w:val="38"/>
        </w:rPr>
      </w:pPr>
      <w:r>
        <w:rPr>
          <w:rFonts w:ascii="Calibri" w:hAnsi="Calibri" w:cs="Calibri"/>
          <w:color w:val="1A1A1A"/>
          <w:sz w:val="38"/>
          <w:szCs w:val="38"/>
        </w:rPr>
        <w:t xml:space="preserve">For your reference here is the current list of certifications and assurances received for FY 2015 </w:t>
      </w:r>
      <w:hyperlink r:id="rId8" w:history="1">
        <w:r>
          <w:rPr>
            <w:rFonts w:ascii="Calibri" w:hAnsi="Calibri" w:cs="Calibri"/>
            <w:color w:val="0B4CB4"/>
            <w:sz w:val="30"/>
            <w:szCs w:val="30"/>
            <w:u w:val="single" w:color="0B4CB4"/>
          </w:rPr>
          <w:t>https://www.bja.gov/Programs/15PREA-AssurancesCertifications.pdf</w:t>
        </w:r>
      </w:hyperlink>
    </w:p>
    <w:p w14:paraId="433587C3"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77A62ADD"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3CC7571F"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8"/>
          <w:szCs w:val="38"/>
        </w:rPr>
        <w:t xml:space="preserve">Hopefully this message provides clarification and answers any remaining questions.  If not please don’t hesitate to contact </w:t>
      </w:r>
      <w:proofErr w:type="gramStart"/>
      <w:r>
        <w:rPr>
          <w:rFonts w:ascii="Calibri" w:hAnsi="Calibri" w:cs="Calibri"/>
          <w:color w:val="1A1A1A"/>
          <w:sz w:val="38"/>
          <w:szCs w:val="38"/>
        </w:rPr>
        <w:t>me or your OVW Program Manager</w:t>
      </w:r>
      <w:proofErr w:type="gramEnd"/>
      <w:r>
        <w:rPr>
          <w:rFonts w:ascii="Calibri" w:hAnsi="Calibri" w:cs="Calibri"/>
          <w:color w:val="1A1A1A"/>
          <w:sz w:val="38"/>
          <w:szCs w:val="38"/>
        </w:rPr>
        <w:t>.  Thanks!</w:t>
      </w:r>
    </w:p>
    <w:p w14:paraId="46661D66"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8"/>
          <w:szCs w:val="38"/>
        </w:rPr>
        <w:t> </w:t>
      </w:r>
    </w:p>
    <w:p w14:paraId="5682A36D"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8"/>
          <w:szCs w:val="38"/>
        </w:rPr>
        <w:t> </w:t>
      </w:r>
    </w:p>
    <w:p w14:paraId="6CC4707A" w14:textId="77777777" w:rsidR="00FF1FE7" w:rsidRDefault="00FF1FE7" w:rsidP="00FF1FE7">
      <w:pPr>
        <w:widowControl w:val="0"/>
        <w:autoSpaceDE w:val="0"/>
        <w:autoSpaceDN w:val="0"/>
        <w:adjustRightInd w:val="0"/>
        <w:rPr>
          <w:rFonts w:ascii="Calibri" w:hAnsi="Calibri" w:cs="Calibri"/>
          <w:sz w:val="38"/>
          <w:szCs w:val="38"/>
        </w:rPr>
      </w:pPr>
      <w:r>
        <w:rPr>
          <w:rFonts w:ascii="Arial Narrow" w:hAnsi="Arial Narrow" w:cs="Arial Narrow"/>
          <w:color w:val="1A1A1A"/>
          <w:sz w:val="32"/>
          <w:szCs w:val="32"/>
        </w:rPr>
        <w:t xml:space="preserve">Michelle A. </w:t>
      </w:r>
      <w:proofErr w:type="spellStart"/>
      <w:r>
        <w:rPr>
          <w:rFonts w:ascii="Arial Narrow" w:hAnsi="Arial Narrow" w:cs="Arial Narrow"/>
          <w:color w:val="1A1A1A"/>
          <w:sz w:val="32"/>
          <w:szCs w:val="32"/>
        </w:rPr>
        <w:t>Brickley</w:t>
      </w:r>
      <w:proofErr w:type="spellEnd"/>
    </w:p>
    <w:p w14:paraId="471BD708" w14:textId="77777777" w:rsidR="00FF1FE7" w:rsidRDefault="00FF1FE7" w:rsidP="00FF1FE7">
      <w:pPr>
        <w:widowControl w:val="0"/>
        <w:autoSpaceDE w:val="0"/>
        <w:autoSpaceDN w:val="0"/>
        <w:adjustRightInd w:val="0"/>
        <w:rPr>
          <w:rFonts w:ascii="Calibri" w:hAnsi="Calibri" w:cs="Calibri"/>
          <w:sz w:val="38"/>
          <w:szCs w:val="38"/>
        </w:rPr>
      </w:pPr>
      <w:r>
        <w:rPr>
          <w:rFonts w:ascii="Arial Narrow" w:hAnsi="Arial Narrow" w:cs="Arial Narrow"/>
          <w:color w:val="1A1A1A"/>
          <w:sz w:val="32"/>
          <w:szCs w:val="32"/>
        </w:rPr>
        <w:t>Associate Director</w:t>
      </w:r>
    </w:p>
    <w:p w14:paraId="1215182A" w14:textId="77777777" w:rsidR="00FF1FE7" w:rsidRDefault="00FF1FE7" w:rsidP="00FF1FE7">
      <w:pPr>
        <w:widowControl w:val="0"/>
        <w:autoSpaceDE w:val="0"/>
        <w:autoSpaceDN w:val="0"/>
        <w:adjustRightInd w:val="0"/>
        <w:rPr>
          <w:rFonts w:ascii="Calibri" w:hAnsi="Calibri" w:cs="Calibri"/>
          <w:sz w:val="38"/>
          <w:szCs w:val="38"/>
        </w:rPr>
      </w:pPr>
      <w:r>
        <w:rPr>
          <w:rFonts w:ascii="Arial Narrow" w:hAnsi="Arial Narrow" w:cs="Arial Narrow"/>
          <w:color w:val="1A1A1A"/>
          <w:sz w:val="32"/>
          <w:szCs w:val="32"/>
        </w:rPr>
        <w:t>U.S. Department of Justice-Office on Violence Against Women</w:t>
      </w:r>
    </w:p>
    <w:p w14:paraId="4E4CB6F5" w14:textId="77777777" w:rsidR="00FF1FE7" w:rsidRDefault="00FF1FE7" w:rsidP="00FF1FE7">
      <w:pPr>
        <w:widowControl w:val="0"/>
        <w:autoSpaceDE w:val="0"/>
        <w:autoSpaceDN w:val="0"/>
        <w:adjustRightInd w:val="0"/>
        <w:rPr>
          <w:rFonts w:ascii="Calibri" w:hAnsi="Calibri" w:cs="Calibri"/>
          <w:sz w:val="38"/>
          <w:szCs w:val="38"/>
        </w:rPr>
      </w:pPr>
      <w:r>
        <w:rPr>
          <w:rFonts w:ascii="Arial Narrow" w:hAnsi="Arial Narrow" w:cs="Arial Narrow"/>
          <w:color w:val="1A1A1A"/>
          <w:sz w:val="32"/>
          <w:szCs w:val="32"/>
        </w:rPr>
        <w:t>145 N Street NE</w:t>
      </w:r>
    </w:p>
    <w:p w14:paraId="7013BB94" w14:textId="77777777" w:rsidR="00FF1FE7" w:rsidRDefault="00FF1FE7" w:rsidP="00FF1FE7">
      <w:pPr>
        <w:widowControl w:val="0"/>
        <w:autoSpaceDE w:val="0"/>
        <w:autoSpaceDN w:val="0"/>
        <w:adjustRightInd w:val="0"/>
        <w:rPr>
          <w:rFonts w:ascii="Calibri" w:hAnsi="Calibri" w:cs="Calibri"/>
          <w:sz w:val="38"/>
          <w:szCs w:val="38"/>
        </w:rPr>
      </w:pPr>
      <w:r>
        <w:rPr>
          <w:rFonts w:ascii="Arial Narrow" w:hAnsi="Arial Narrow" w:cs="Arial Narrow"/>
          <w:color w:val="1A1A1A"/>
          <w:sz w:val="32"/>
          <w:szCs w:val="32"/>
        </w:rPr>
        <w:t>Suite 10W Room 208</w:t>
      </w:r>
    </w:p>
    <w:p w14:paraId="40101028" w14:textId="77777777" w:rsidR="00FF1FE7" w:rsidRDefault="00FF1FE7" w:rsidP="00FF1FE7">
      <w:pPr>
        <w:widowControl w:val="0"/>
        <w:autoSpaceDE w:val="0"/>
        <w:autoSpaceDN w:val="0"/>
        <w:adjustRightInd w:val="0"/>
        <w:rPr>
          <w:rFonts w:ascii="Calibri" w:hAnsi="Calibri" w:cs="Calibri"/>
          <w:sz w:val="38"/>
          <w:szCs w:val="38"/>
        </w:rPr>
      </w:pPr>
      <w:r>
        <w:rPr>
          <w:rFonts w:ascii="Arial Narrow" w:hAnsi="Arial Narrow" w:cs="Arial Narrow"/>
          <w:color w:val="1A1A1A"/>
          <w:sz w:val="32"/>
          <w:szCs w:val="32"/>
        </w:rPr>
        <w:t>Washington, DC 20530</w:t>
      </w:r>
    </w:p>
    <w:p w14:paraId="43489DE1" w14:textId="77777777" w:rsidR="00FF1FE7" w:rsidRDefault="00FF1FE7" w:rsidP="00FF1FE7">
      <w:pPr>
        <w:widowControl w:val="0"/>
        <w:autoSpaceDE w:val="0"/>
        <w:autoSpaceDN w:val="0"/>
        <w:adjustRightInd w:val="0"/>
        <w:rPr>
          <w:rFonts w:ascii="Calibri" w:hAnsi="Calibri" w:cs="Calibri"/>
          <w:sz w:val="38"/>
          <w:szCs w:val="38"/>
        </w:rPr>
      </w:pPr>
      <w:bookmarkStart w:id="0" w:name="_GoBack"/>
      <w:bookmarkEnd w:id="0"/>
      <w:r>
        <w:rPr>
          <w:rFonts w:ascii="Arial Narrow" w:hAnsi="Arial Narrow" w:cs="Arial Narrow"/>
          <w:color w:val="103CC0"/>
          <w:sz w:val="32"/>
          <w:szCs w:val="32"/>
          <w:u w:val="single" w:color="103CC0"/>
        </w:rPr>
        <w:t>202-514-3590</w:t>
      </w:r>
      <w:r>
        <w:rPr>
          <w:rFonts w:ascii="Calibri" w:hAnsi="Calibri" w:cs="Calibri"/>
          <w:color w:val="1A1A1A"/>
          <w:sz w:val="30"/>
          <w:szCs w:val="30"/>
        </w:rPr>
        <w:t> </w:t>
      </w:r>
    </w:p>
    <w:p w14:paraId="53DDA84A"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798DF9C5" w14:textId="77777777" w:rsidR="00FF1FE7" w:rsidRDefault="00FF1FE7" w:rsidP="00FF1FE7">
      <w:pPr>
        <w:widowControl w:val="0"/>
        <w:autoSpaceDE w:val="0"/>
        <w:autoSpaceDN w:val="0"/>
        <w:adjustRightInd w:val="0"/>
        <w:rPr>
          <w:rFonts w:ascii="Calibri" w:hAnsi="Calibri" w:cs="Calibri"/>
          <w:sz w:val="38"/>
          <w:szCs w:val="38"/>
        </w:rPr>
      </w:pPr>
      <w:r>
        <w:rPr>
          <w:rFonts w:ascii="Calibri" w:hAnsi="Calibri" w:cs="Calibri"/>
          <w:color w:val="1A1A1A"/>
          <w:sz w:val="30"/>
          <w:szCs w:val="30"/>
        </w:rPr>
        <w:t> </w:t>
      </w:r>
    </w:p>
    <w:p w14:paraId="56B3E111" w14:textId="77777777" w:rsidR="00FF1FE7" w:rsidRDefault="00FF1FE7" w:rsidP="00FF1FE7">
      <w:pPr>
        <w:widowControl w:val="0"/>
        <w:autoSpaceDE w:val="0"/>
        <w:autoSpaceDN w:val="0"/>
        <w:adjustRightInd w:val="0"/>
        <w:rPr>
          <w:rFonts w:ascii="Helvetica Neue" w:hAnsi="Helvetica Neue" w:cs="Helvetica Neue"/>
          <w:sz w:val="32"/>
          <w:szCs w:val="32"/>
        </w:rPr>
      </w:pPr>
    </w:p>
    <w:p w14:paraId="4DCE3599" w14:textId="77777777" w:rsidR="00FF1FE7" w:rsidRDefault="00FF1FE7" w:rsidP="00FF1FE7">
      <w:pPr>
        <w:widowControl w:val="0"/>
        <w:autoSpaceDE w:val="0"/>
        <w:autoSpaceDN w:val="0"/>
        <w:adjustRightInd w:val="0"/>
        <w:rPr>
          <w:rFonts w:ascii="Helvetica Neue" w:hAnsi="Helvetica Neue" w:cs="Helvetica Neue"/>
          <w:sz w:val="32"/>
          <w:szCs w:val="32"/>
        </w:rPr>
      </w:pPr>
    </w:p>
    <w:p w14:paraId="7AEB020D" w14:textId="77777777" w:rsidR="00FF1FE7" w:rsidRDefault="00FF1FE7" w:rsidP="00FF1FE7">
      <w:pPr>
        <w:widowControl w:val="0"/>
        <w:autoSpaceDE w:val="0"/>
        <w:autoSpaceDN w:val="0"/>
        <w:adjustRightInd w:val="0"/>
        <w:rPr>
          <w:rFonts w:ascii="Arial" w:hAnsi="Arial" w:cs="Arial"/>
          <w:color w:val="1A1A1A"/>
          <w:sz w:val="26"/>
          <w:szCs w:val="26"/>
        </w:rPr>
      </w:pPr>
    </w:p>
    <w:p w14:paraId="24BA93E7" w14:textId="77777777" w:rsidR="00FF1FE7" w:rsidRDefault="00FF1FE7" w:rsidP="00FF1FE7">
      <w:pPr>
        <w:widowControl w:val="0"/>
        <w:autoSpaceDE w:val="0"/>
        <w:autoSpaceDN w:val="0"/>
        <w:adjustRightInd w:val="0"/>
        <w:rPr>
          <w:rFonts w:ascii="Arial" w:hAnsi="Arial" w:cs="Arial"/>
          <w:color w:val="1A1A1A"/>
          <w:sz w:val="26"/>
          <w:szCs w:val="26"/>
        </w:rPr>
      </w:pPr>
    </w:p>
    <w:p w14:paraId="24C8BD0B" w14:textId="77777777" w:rsidR="00FF1FE7" w:rsidRDefault="00FF1FE7" w:rsidP="00FF1FE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Forwarded message ----------</w:t>
      </w:r>
    </w:p>
    <w:p w14:paraId="44090458" w14:textId="77777777" w:rsidR="00FF1FE7" w:rsidRDefault="00FF1FE7" w:rsidP="00FF1FE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From: "</w:t>
      </w:r>
      <w:proofErr w:type="spellStart"/>
      <w:r>
        <w:rPr>
          <w:rFonts w:ascii="Arial" w:hAnsi="Arial" w:cs="Arial"/>
          <w:color w:val="1A1A1A"/>
          <w:sz w:val="26"/>
          <w:szCs w:val="26"/>
        </w:rPr>
        <w:t>Brickley</w:t>
      </w:r>
      <w:proofErr w:type="spellEnd"/>
      <w:r>
        <w:rPr>
          <w:rFonts w:ascii="Arial" w:hAnsi="Arial" w:cs="Arial"/>
          <w:color w:val="1A1A1A"/>
          <w:sz w:val="26"/>
          <w:szCs w:val="26"/>
        </w:rPr>
        <w:t>, Michelle (OVW)" &lt;mbrickley@jmd.usdoj.gov&gt;</w:t>
      </w:r>
    </w:p>
    <w:p w14:paraId="28F88A66" w14:textId="77777777" w:rsidR="00FF1FE7" w:rsidRDefault="00FF1FE7" w:rsidP="00FF1FE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w:t>
      </w:r>
    </w:p>
    <w:p w14:paraId="61E22A24" w14:textId="77777777" w:rsidR="00FF1FE7" w:rsidRDefault="00FF1FE7" w:rsidP="00FF1FE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Cc: </w:t>
      </w:r>
    </w:p>
    <w:p w14:paraId="3C77A508" w14:textId="77777777" w:rsidR="00FF1FE7" w:rsidRDefault="00FF1FE7" w:rsidP="00FF1FE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Date: Tue, 23 Jun 2015 20:21:36 +0000</w:t>
      </w:r>
    </w:p>
    <w:p w14:paraId="55030AB5" w14:textId="77777777" w:rsidR="00FF1FE7" w:rsidRDefault="00FF1FE7" w:rsidP="00FF1FE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Subject: Important Message from OVW--Take 2</w:t>
      </w:r>
    </w:p>
    <w:p w14:paraId="70BEA3AF"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8"/>
          <w:szCs w:val="38"/>
        </w:rPr>
        <w:t>Hello Again!</w:t>
      </w:r>
    </w:p>
    <w:p w14:paraId="5C9A59EC"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28789B90"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8"/>
          <w:szCs w:val="38"/>
        </w:rPr>
        <w:t>We’ve gotten a number of questions in response to the message I sent earlier today, hence this second email to provide clarification. </w:t>
      </w:r>
    </w:p>
    <w:p w14:paraId="35F49B36"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03F32D6E"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8"/>
          <w:szCs w:val="38"/>
        </w:rPr>
        <w:t xml:space="preserve">As a reminder, the FY 2014 Redistribution Allocation is essentially “bonus money” to those states who submitted a </w:t>
      </w:r>
      <w:proofErr w:type="gramStart"/>
      <w:r>
        <w:rPr>
          <w:rFonts w:ascii="Calibri" w:hAnsi="Calibri" w:cs="Calibri"/>
          <w:color w:val="1A1A1A"/>
          <w:sz w:val="38"/>
          <w:szCs w:val="38"/>
        </w:rPr>
        <w:t>PREA  assurance</w:t>
      </w:r>
      <w:proofErr w:type="gramEnd"/>
      <w:r>
        <w:rPr>
          <w:rFonts w:ascii="Calibri" w:hAnsi="Calibri" w:cs="Calibri"/>
          <w:color w:val="1A1A1A"/>
          <w:sz w:val="38"/>
          <w:szCs w:val="38"/>
        </w:rPr>
        <w:t xml:space="preserve"> or certification in FY 2014.  PREA requires for those states/territory that didn’t submit either an assurance or </w:t>
      </w:r>
      <w:proofErr w:type="gramStart"/>
      <w:r>
        <w:rPr>
          <w:rFonts w:ascii="Calibri" w:hAnsi="Calibri" w:cs="Calibri"/>
          <w:color w:val="1A1A1A"/>
          <w:sz w:val="38"/>
          <w:szCs w:val="38"/>
        </w:rPr>
        <w:t>certification(</w:t>
      </w:r>
      <w:proofErr w:type="gramEnd"/>
      <w:r>
        <w:rPr>
          <w:rFonts w:ascii="Calibri" w:hAnsi="Calibri" w:cs="Calibri"/>
          <w:color w:val="1A1A1A"/>
          <w:sz w:val="38"/>
          <w:szCs w:val="38"/>
        </w:rPr>
        <w:t xml:space="preserve">FY 2014 allocation was reduced by 4.75%) that their funds be redistributed to those states and territories that did, therefore the Redistribution Allocation chart reflects this “bonus money” amount.  Due to the timing of </w:t>
      </w:r>
      <w:proofErr w:type="gramStart"/>
      <w:r>
        <w:rPr>
          <w:rFonts w:ascii="Calibri" w:hAnsi="Calibri" w:cs="Calibri"/>
          <w:color w:val="1A1A1A"/>
          <w:sz w:val="38"/>
          <w:szCs w:val="38"/>
        </w:rPr>
        <w:t>everything(</w:t>
      </w:r>
      <w:proofErr w:type="gramEnd"/>
      <w:r>
        <w:rPr>
          <w:rFonts w:ascii="Calibri" w:hAnsi="Calibri" w:cs="Calibri"/>
          <w:color w:val="1A1A1A"/>
          <w:sz w:val="38"/>
          <w:szCs w:val="38"/>
        </w:rPr>
        <w:t>and many moving pieces) we are unable to do to the redistribution during the same year, which is why FY 2014 funds are being redistributed in FY 2015. </w:t>
      </w:r>
    </w:p>
    <w:p w14:paraId="23227B07"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7CD67981"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8"/>
          <w:szCs w:val="38"/>
        </w:rPr>
        <w:t>A few more things to keep in mind:</w:t>
      </w:r>
    </w:p>
    <w:p w14:paraId="4B005262"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666551A4" w14:textId="77777777" w:rsidR="00FF1FE7" w:rsidRDefault="00FF1FE7" w:rsidP="00FF1FE7">
      <w:pPr>
        <w:widowControl w:val="0"/>
        <w:numPr>
          <w:ilvl w:val="0"/>
          <w:numId w:val="6"/>
        </w:numPr>
        <w:tabs>
          <w:tab w:val="left" w:pos="220"/>
          <w:tab w:val="left" w:pos="720"/>
        </w:tabs>
        <w:autoSpaceDE w:val="0"/>
        <w:autoSpaceDN w:val="0"/>
        <w:adjustRightInd w:val="0"/>
        <w:ind w:hanging="720"/>
        <w:rPr>
          <w:rFonts w:ascii="Calibri" w:hAnsi="Calibri" w:cs="Calibri"/>
          <w:color w:val="1A1A1A"/>
          <w:sz w:val="38"/>
          <w:szCs w:val="38"/>
        </w:rPr>
      </w:pPr>
      <w:r>
        <w:rPr>
          <w:rFonts w:ascii="Calibri" w:hAnsi="Calibri" w:cs="Calibri"/>
          <w:color w:val="1A1A1A"/>
          <w:sz w:val="38"/>
          <w:szCs w:val="38"/>
        </w:rPr>
        <w:t xml:space="preserve">The FY 2015 Allocation chart that I sent only reflects allocations.  It does not reflect the reduced amount if your state or </w:t>
      </w:r>
      <w:proofErr w:type="gramStart"/>
      <w:r>
        <w:rPr>
          <w:rFonts w:ascii="Calibri" w:hAnsi="Calibri" w:cs="Calibri"/>
          <w:color w:val="1A1A1A"/>
          <w:sz w:val="38"/>
          <w:szCs w:val="38"/>
        </w:rPr>
        <w:t>territory  has</w:t>
      </w:r>
      <w:proofErr w:type="gramEnd"/>
      <w:r>
        <w:rPr>
          <w:rFonts w:ascii="Calibri" w:hAnsi="Calibri" w:cs="Calibri"/>
          <w:color w:val="1A1A1A"/>
          <w:sz w:val="38"/>
          <w:szCs w:val="38"/>
        </w:rPr>
        <w:t xml:space="preserve"> not submitted an assurance or certification for FY 2015.  For FY 2015 the deadline for Governors to provide a certification or an assurance to the PREA Office was May 15, 2015.  If you are from a state or territory that has not provided a certification or assurance your FY 2015 STOP award will be reduced by 4.75% (FY 2015 allocation minus 4.75%), another chart to show </w:t>
      </w:r>
      <w:proofErr w:type="gramStart"/>
      <w:r>
        <w:rPr>
          <w:rFonts w:ascii="Calibri" w:hAnsi="Calibri" w:cs="Calibri"/>
          <w:color w:val="1A1A1A"/>
          <w:sz w:val="38"/>
          <w:szCs w:val="38"/>
        </w:rPr>
        <w:t>these amount</w:t>
      </w:r>
      <w:proofErr w:type="gramEnd"/>
      <w:r>
        <w:rPr>
          <w:rFonts w:ascii="Calibri" w:hAnsi="Calibri" w:cs="Calibri"/>
          <w:color w:val="1A1A1A"/>
          <w:sz w:val="38"/>
          <w:szCs w:val="38"/>
        </w:rPr>
        <w:t xml:space="preserve"> will not be provided.  Those that fall into this category will see the reduced award amount on their FY 2015 STOP award documents. </w:t>
      </w:r>
    </w:p>
    <w:p w14:paraId="57F9EAD3"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29B29039" w14:textId="77777777" w:rsidR="00FF1FE7" w:rsidRDefault="00FF1FE7" w:rsidP="00FF1FE7">
      <w:pPr>
        <w:widowControl w:val="0"/>
        <w:numPr>
          <w:ilvl w:val="0"/>
          <w:numId w:val="7"/>
        </w:numPr>
        <w:tabs>
          <w:tab w:val="left" w:pos="220"/>
          <w:tab w:val="left" w:pos="720"/>
        </w:tabs>
        <w:autoSpaceDE w:val="0"/>
        <w:autoSpaceDN w:val="0"/>
        <w:adjustRightInd w:val="0"/>
        <w:ind w:hanging="720"/>
        <w:rPr>
          <w:rFonts w:ascii="Calibri" w:hAnsi="Calibri" w:cs="Calibri"/>
          <w:color w:val="1A1A1A"/>
          <w:sz w:val="38"/>
          <w:szCs w:val="38"/>
        </w:rPr>
      </w:pPr>
      <w:r>
        <w:rPr>
          <w:rFonts w:ascii="Calibri" w:hAnsi="Calibri" w:cs="Calibri"/>
          <w:color w:val="1A1A1A"/>
          <w:sz w:val="38"/>
          <w:szCs w:val="38"/>
        </w:rPr>
        <w:t>For those states and territories that have submitted a certification your FY 2015 STOP award will be made without a PREA withholding of funds. </w:t>
      </w:r>
    </w:p>
    <w:p w14:paraId="42539FF1"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1D2BB419" w14:textId="77777777" w:rsidR="00FF1FE7" w:rsidRDefault="00FF1FE7" w:rsidP="00FF1FE7">
      <w:pPr>
        <w:widowControl w:val="0"/>
        <w:numPr>
          <w:ilvl w:val="0"/>
          <w:numId w:val="8"/>
        </w:numPr>
        <w:tabs>
          <w:tab w:val="left" w:pos="220"/>
          <w:tab w:val="left" w:pos="720"/>
        </w:tabs>
        <w:autoSpaceDE w:val="0"/>
        <w:autoSpaceDN w:val="0"/>
        <w:adjustRightInd w:val="0"/>
        <w:ind w:hanging="720"/>
        <w:rPr>
          <w:rFonts w:ascii="Calibri" w:hAnsi="Calibri" w:cs="Calibri"/>
          <w:color w:val="1A1A1A"/>
          <w:sz w:val="38"/>
          <w:szCs w:val="38"/>
        </w:rPr>
      </w:pPr>
      <w:r>
        <w:rPr>
          <w:rFonts w:ascii="Calibri" w:hAnsi="Calibri" w:cs="Calibri"/>
          <w:color w:val="1A1A1A"/>
          <w:sz w:val="38"/>
          <w:szCs w:val="38"/>
        </w:rPr>
        <w:t>For those states and territories that have submitted an assurance your FY 2015 STOP award will be made with a special condition that withholds 4.75% of the funds until OVW receives and approves the PREA Worksheet.  Upon final approval a Grant Adjustment Notice will be issued to release the hold on the 4.75%. </w:t>
      </w:r>
    </w:p>
    <w:p w14:paraId="30A8EADD"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5B46FA93" w14:textId="77777777" w:rsidR="00FF1FE7" w:rsidRDefault="00FF1FE7" w:rsidP="00FF1FE7">
      <w:pPr>
        <w:widowControl w:val="0"/>
        <w:numPr>
          <w:ilvl w:val="0"/>
          <w:numId w:val="9"/>
        </w:numPr>
        <w:tabs>
          <w:tab w:val="left" w:pos="220"/>
          <w:tab w:val="left" w:pos="720"/>
        </w:tabs>
        <w:autoSpaceDE w:val="0"/>
        <w:autoSpaceDN w:val="0"/>
        <w:adjustRightInd w:val="0"/>
        <w:ind w:hanging="720"/>
        <w:rPr>
          <w:rFonts w:ascii="Calibri" w:hAnsi="Calibri" w:cs="Calibri"/>
          <w:color w:val="1A1A1A"/>
          <w:sz w:val="38"/>
          <w:szCs w:val="38"/>
        </w:rPr>
      </w:pPr>
      <w:r>
        <w:rPr>
          <w:rFonts w:ascii="Calibri" w:hAnsi="Calibri" w:cs="Calibri"/>
          <w:color w:val="1A1A1A"/>
          <w:sz w:val="38"/>
          <w:szCs w:val="38"/>
        </w:rPr>
        <w:t xml:space="preserve">We are in the process of updating the PREA Worksheet, which is submitted post award.  The form has to be revised so that the “bonus money” received from the redistribution is not subject to the PREA </w:t>
      </w:r>
      <w:proofErr w:type="spellStart"/>
      <w:r>
        <w:rPr>
          <w:rFonts w:ascii="Calibri" w:hAnsi="Calibri" w:cs="Calibri"/>
          <w:color w:val="1A1A1A"/>
          <w:sz w:val="38"/>
          <w:szCs w:val="38"/>
        </w:rPr>
        <w:t>amout</w:t>
      </w:r>
      <w:proofErr w:type="spellEnd"/>
      <w:r>
        <w:rPr>
          <w:rFonts w:ascii="Calibri" w:hAnsi="Calibri" w:cs="Calibri"/>
          <w:color w:val="1A1A1A"/>
          <w:sz w:val="38"/>
          <w:szCs w:val="38"/>
        </w:rPr>
        <w:t xml:space="preserve"> for FY 2015 but is part of the automated </w:t>
      </w:r>
      <w:proofErr w:type="spellStart"/>
      <w:r>
        <w:rPr>
          <w:rFonts w:ascii="Calibri" w:hAnsi="Calibri" w:cs="Calibri"/>
          <w:color w:val="1A1A1A"/>
          <w:sz w:val="38"/>
          <w:szCs w:val="38"/>
        </w:rPr>
        <w:t>calulations</w:t>
      </w:r>
      <w:proofErr w:type="spellEnd"/>
      <w:r>
        <w:rPr>
          <w:rFonts w:ascii="Calibri" w:hAnsi="Calibri" w:cs="Calibri"/>
          <w:color w:val="1A1A1A"/>
          <w:sz w:val="38"/>
          <w:szCs w:val="38"/>
        </w:rPr>
        <w:t xml:space="preserve"> for the discipline required allocations, administrative costs, etc.   Once the form has been revised a blast message will be sent and the revised form will also be posted on the OVW website.  The </w:t>
      </w:r>
      <w:proofErr w:type="gramStart"/>
      <w:r>
        <w:rPr>
          <w:rFonts w:ascii="Calibri" w:hAnsi="Calibri" w:cs="Calibri"/>
          <w:color w:val="1A1A1A"/>
          <w:sz w:val="38"/>
          <w:szCs w:val="38"/>
        </w:rPr>
        <w:t>revisions to this form primarily impacts</w:t>
      </w:r>
      <w:proofErr w:type="gramEnd"/>
      <w:r>
        <w:rPr>
          <w:rFonts w:ascii="Calibri" w:hAnsi="Calibri" w:cs="Calibri"/>
          <w:color w:val="1A1A1A"/>
          <w:sz w:val="38"/>
          <w:szCs w:val="38"/>
        </w:rPr>
        <w:t xml:space="preserve"> those that submitted assurances for FY 2015 which is the majority. </w:t>
      </w:r>
    </w:p>
    <w:p w14:paraId="4D07AE85"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3ABF0B58" w14:textId="77777777" w:rsidR="00FF1FE7" w:rsidRDefault="00FF1FE7" w:rsidP="00FF1FE7">
      <w:pPr>
        <w:widowControl w:val="0"/>
        <w:numPr>
          <w:ilvl w:val="0"/>
          <w:numId w:val="10"/>
        </w:numPr>
        <w:tabs>
          <w:tab w:val="left" w:pos="220"/>
          <w:tab w:val="left" w:pos="720"/>
        </w:tabs>
        <w:autoSpaceDE w:val="0"/>
        <w:autoSpaceDN w:val="0"/>
        <w:adjustRightInd w:val="0"/>
        <w:ind w:hanging="720"/>
        <w:rPr>
          <w:rFonts w:ascii="Calibri" w:hAnsi="Calibri" w:cs="Calibri"/>
          <w:color w:val="1A1A1A"/>
          <w:sz w:val="38"/>
          <w:szCs w:val="38"/>
        </w:rPr>
      </w:pPr>
      <w:r>
        <w:rPr>
          <w:rFonts w:ascii="Calibri" w:hAnsi="Calibri" w:cs="Calibri"/>
          <w:color w:val="1A1A1A"/>
          <w:sz w:val="38"/>
          <w:szCs w:val="38"/>
        </w:rPr>
        <w:t xml:space="preserve">For your reference here is the current list of certifications and assurances received for FY 2015 </w:t>
      </w:r>
      <w:hyperlink r:id="rId9" w:history="1">
        <w:r>
          <w:rPr>
            <w:rFonts w:ascii="Calibri" w:hAnsi="Calibri" w:cs="Calibri"/>
            <w:color w:val="0B4CB4"/>
            <w:sz w:val="30"/>
            <w:szCs w:val="30"/>
            <w:u w:val="single" w:color="0B4CB4"/>
          </w:rPr>
          <w:t>https://www.bja.gov/Programs/15PREA-AssurancesCertifications.pdf</w:t>
        </w:r>
      </w:hyperlink>
    </w:p>
    <w:p w14:paraId="4E22FF71"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2FAE6F0A"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51E69611"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8"/>
          <w:szCs w:val="38"/>
        </w:rPr>
        <w:t xml:space="preserve">Hopefully this message provides clarification and answers any remaining questions.  If not please don’t hesitate to contact </w:t>
      </w:r>
      <w:proofErr w:type="gramStart"/>
      <w:r>
        <w:rPr>
          <w:rFonts w:ascii="Calibri" w:hAnsi="Calibri" w:cs="Calibri"/>
          <w:color w:val="1A1A1A"/>
          <w:sz w:val="38"/>
          <w:szCs w:val="38"/>
        </w:rPr>
        <w:t>me or your OVW Program Manager</w:t>
      </w:r>
      <w:proofErr w:type="gramEnd"/>
      <w:r>
        <w:rPr>
          <w:rFonts w:ascii="Calibri" w:hAnsi="Calibri" w:cs="Calibri"/>
          <w:color w:val="1A1A1A"/>
          <w:sz w:val="38"/>
          <w:szCs w:val="38"/>
        </w:rPr>
        <w:t>.  Thanks!</w:t>
      </w:r>
    </w:p>
    <w:p w14:paraId="1617F64D"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8"/>
          <w:szCs w:val="38"/>
        </w:rPr>
        <w:t> </w:t>
      </w:r>
    </w:p>
    <w:p w14:paraId="30509F92"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8"/>
          <w:szCs w:val="38"/>
        </w:rPr>
        <w:t> </w:t>
      </w:r>
    </w:p>
    <w:p w14:paraId="20067557"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Arial Narrow" w:hAnsi="Arial Narrow" w:cs="Arial Narrow"/>
          <w:color w:val="1A1A1A"/>
          <w:sz w:val="32"/>
          <w:szCs w:val="32"/>
        </w:rPr>
        <w:t xml:space="preserve">Michelle A. </w:t>
      </w:r>
      <w:proofErr w:type="spellStart"/>
      <w:r>
        <w:rPr>
          <w:rFonts w:ascii="Arial Narrow" w:hAnsi="Arial Narrow" w:cs="Arial Narrow"/>
          <w:color w:val="1A1A1A"/>
          <w:sz w:val="32"/>
          <w:szCs w:val="32"/>
        </w:rPr>
        <w:t>Brickley</w:t>
      </w:r>
      <w:proofErr w:type="spellEnd"/>
    </w:p>
    <w:p w14:paraId="32D04128"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Arial Narrow" w:hAnsi="Arial Narrow" w:cs="Arial Narrow"/>
          <w:color w:val="1A1A1A"/>
          <w:sz w:val="32"/>
          <w:szCs w:val="32"/>
        </w:rPr>
        <w:t>Associate Director</w:t>
      </w:r>
    </w:p>
    <w:p w14:paraId="7A6057FF"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Arial Narrow" w:hAnsi="Arial Narrow" w:cs="Arial Narrow"/>
          <w:color w:val="1A1A1A"/>
          <w:sz w:val="32"/>
          <w:szCs w:val="32"/>
        </w:rPr>
        <w:t>U.S. Department of Justice-Office on Violence Against Women</w:t>
      </w:r>
    </w:p>
    <w:p w14:paraId="5D1CC1E1"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Arial Narrow" w:hAnsi="Arial Narrow" w:cs="Arial Narrow"/>
          <w:color w:val="1A1A1A"/>
          <w:sz w:val="32"/>
          <w:szCs w:val="32"/>
        </w:rPr>
        <w:t>145 N Street NE</w:t>
      </w:r>
    </w:p>
    <w:p w14:paraId="3346B27A"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Arial Narrow" w:hAnsi="Arial Narrow" w:cs="Arial Narrow"/>
          <w:color w:val="1A1A1A"/>
          <w:sz w:val="32"/>
          <w:szCs w:val="32"/>
        </w:rPr>
        <w:t>Suite 10W Room 208</w:t>
      </w:r>
    </w:p>
    <w:p w14:paraId="3A39AEB7"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Arial Narrow" w:hAnsi="Arial Narrow" w:cs="Arial Narrow"/>
          <w:color w:val="1A1A1A"/>
          <w:sz w:val="32"/>
          <w:szCs w:val="32"/>
        </w:rPr>
        <w:t>Washington, DC 20530</w:t>
      </w:r>
    </w:p>
    <w:p w14:paraId="51F06564" w14:textId="77777777" w:rsidR="00FF1FE7" w:rsidRDefault="00FF1FE7" w:rsidP="00FF1FE7">
      <w:pPr>
        <w:widowControl w:val="0"/>
        <w:autoSpaceDE w:val="0"/>
        <w:autoSpaceDN w:val="0"/>
        <w:adjustRightInd w:val="0"/>
        <w:rPr>
          <w:rFonts w:ascii="Calibri" w:hAnsi="Calibri" w:cs="Calibri"/>
          <w:color w:val="1A1A1A"/>
          <w:sz w:val="38"/>
          <w:szCs w:val="38"/>
        </w:rPr>
      </w:pPr>
      <w:hyperlink r:id="rId10" w:history="1">
        <w:r>
          <w:rPr>
            <w:rFonts w:ascii="Arial Narrow" w:hAnsi="Arial Narrow" w:cs="Arial Narrow"/>
            <w:color w:val="103CC0"/>
            <w:sz w:val="32"/>
            <w:szCs w:val="32"/>
            <w:u w:val="single" w:color="103CC0"/>
          </w:rPr>
          <w:t>202-514-3590</w:t>
        </w:r>
      </w:hyperlink>
    </w:p>
    <w:p w14:paraId="0E6E8F0A"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Arial Narrow" w:hAnsi="Arial Narrow" w:cs="Arial Narrow"/>
          <w:color w:val="1A1A1A"/>
          <w:sz w:val="32"/>
          <w:szCs w:val="32"/>
        </w:rPr>
        <w:t> </w:t>
      </w:r>
    </w:p>
    <w:p w14:paraId="427220B7" w14:textId="77777777" w:rsidR="00FF1FE7" w:rsidRDefault="00FF1FE7" w:rsidP="00FF1FE7">
      <w:pPr>
        <w:widowControl w:val="0"/>
        <w:autoSpaceDE w:val="0"/>
        <w:autoSpaceDN w:val="0"/>
        <w:adjustRightInd w:val="0"/>
        <w:rPr>
          <w:rFonts w:ascii="Calibri" w:hAnsi="Calibri" w:cs="Calibri"/>
          <w:color w:val="1A1A1A"/>
          <w:sz w:val="38"/>
          <w:szCs w:val="38"/>
        </w:rPr>
      </w:pPr>
      <w:r>
        <w:rPr>
          <w:rFonts w:ascii="Calibri" w:hAnsi="Calibri" w:cs="Calibri"/>
          <w:color w:val="1A1A1A"/>
          <w:sz w:val="30"/>
          <w:szCs w:val="30"/>
        </w:rPr>
        <w:t> </w:t>
      </w:r>
    </w:p>
    <w:p w14:paraId="2F5DDB28" w14:textId="77777777" w:rsidR="00D6111F" w:rsidRDefault="00FF1FE7" w:rsidP="00FF1FE7">
      <w:r>
        <w:rPr>
          <w:rFonts w:ascii="Calibri" w:hAnsi="Calibri" w:cs="Calibri"/>
          <w:color w:val="1A1A1A"/>
          <w:sz w:val="38"/>
          <w:szCs w:val="38"/>
        </w:rPr>
        <w:t> </w:t>
      </w:r>
    </w:p>
    <w:sectPr w:rsidR="00D6111F" w:rsidSect="00D61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E7"/>
    <w:rsid w:val="008062C4"/>
    <w:rsid w:val="00D6111F"/>
    <w:rsid w:val="00FF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B4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elle.Brickley@usdoj.gov" TargetMode="External"/><Relationship Id="rId7" Type="http://schemas.openxmlformats.org/officeDocument/2006/relationships/hyperlink" Target="tel:202-514-3590" TargetMode="External"/><Relationship Id="rId8" Type="http://schemas.openxmlformats.org/officeDocument/2006/relationships/hyperlink" Target="https://www.bja.gov/Programs/15PREA-AssurancesCertifications.pdf" TargetMode="External"/><Relationship Id="rId9" Type="http://schemas.openxmlformats.org/officeDocument/2006/relationships/hyperlink" Target="https://www.bja.gov/Programs/15PREA-AssurancesCertifications.pdf" TargetMode="External"/><Relationship Id="rId10" Type="http://schemas.openxmlformats.org/officeDocument/2006/relationships/hyperlink" Target="tel:202-514-3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1312</Words>
  <Characters>7481</Characters>
  <Application>Microsoft Macintosh Word</Application>
  <DocSecurity>0</DocSecurity>
  <Lines>62</Lines>
  <Paragraphs>17</Paragraphs>
  <ScaleCrop>false</ScaleCrop>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Oppelt</dc:creator>
  <cp:keywords/>
  <dc:description/>
  <cp:lastModifiedBy>Kim Oppelt</cp:lastModifiedBy>
  <cp:revision>2</cp:revision>
  <dcterms:created xsi:type="dcterms:W3CDTF">2015-10-22T22:40:00Z</dcterms:created>
  <dcterms:modified xsi:type="dcterms:W3CDTF">2015-10-22T22:42:00Z</dcterms:modified>
</cp:coreProperties>
</file>